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before="0" w:after="40" w:line="252" w:lineRule="auto"/>
        <w:jc w:val="left"/>
      </w:pPr>
      <w:r>
        <w:rPr>
          <w:rFonts w:ascii="Aptos" w:hAnsi="Aptos"/>
          <w:b/>
          <w:i w:val="0"/>
          <w:color w:val="1F4E79"/>
          <w:sz w:val="42"/>
        </w:rPr>
        <w:t>Předávací protokol při ukončení zaměstnání 2026</w:t>
      </w:r>
    </w:p>
    <w:p>
      <w:pPr>
        <w:spacing w:before="0" w:after="160" w:line="252" w:lineRule="auto"/>
      </w:pPr>
      <w:r>
        <w:rPr>
          <w:rFonts w:ascii="Aptos" w:hAnsi="Aptos"/>
          <w:b w:val="0"/>
          <w:i w:val="0"/>
          <w:color w:val="607D8B"/>
          <w:sz w:val="19"/>
        </w:rPr>
        <w:t>Praktická šablona pro předání majetku, agendy a přístupů</w:t>
      </w: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4535"/>
        <w:gridCol w:w="4535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8"/>
              </w:rPr>
              <w:t>Aktualizováno: 23. 8. 2026</w:t>
            </w:r>
          </w:p>
        </w:tc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  <w:jc w:val="right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Editovatelný vzor pro Word</w:t>
            </w:r>
          </w:p>
        </w:tc>
      </w:tr>
    </w:tbl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10312"/>
      </w:tblGrid>
      <w:tr>
        <w:tc>
          <w:tcPr>
            <w:tcW w:type="dxa" w:w="10312"/>
            <w:shd w:fill="EAF2F8"/>
            <w:tcBorders>
              <w:top w:val="single" w:sz="6" w:color="B7C9D6"/>
              <w:left w:val="single" w:sz="10" w:color="1F4E79"/>
              <w:bottom w:val="single" w:sz="6" w:color="B7C9D6"/>
              <w:right w:val="single" w:sz="6" w:color="B7C9D6"/>
            </w:tcBorders>
          </w:tcPr>
          <w:p>
            <w:pPr>
              <w:spacing w:before="0" w:after="40" w:line="252" w:lineRule="auto"/>
            </w:pPr>
            <w:r>
              <w:rPr>
                <w:rFonts w:ascii="Aptos" w:hAnsi="Aptos"/>
                <w:b/>
                <w:i w:val="0"/>
                <w:color w:val="1F4E79"/>
                <w:sz w:val="20"/>
              </w:rPr>
              <w:t>K čemu slouží</w:t>
              <w:br/>
            </w:r>
            <w:r>
              <w:rPr>
                <w:rFonts w:ascii="Aptos" w:hAnsi="Aptos"/>
                <w:b w:val="0"/>
                <w:i w:val="0"/>
                <w:color w:val="253746"/>
                <w:sz w:val="19"/>
              </w:rPr>
              <w:t>Předávací protokol pomáhá oběma stranám prokázat, co bylo při odchodu zaměstnance předáno. Nenahrazuje potvrzení o zaměstnání („zápočtový list“) ani další dokumenty, které zaměstnavatel vydává podle zákona.</w:t>
            </w:r>
          </w:p>
        </w:tc>
      </w:tr>
    </w:tbl>
    <w:p>
      <w:pPr>
        <w:spacing w:after="0"/>
      </w:pPr>
    </w:p>
    <w:tbl>
      <w:tblPr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835"/>
        <w:gridCol w:w="6236"/>
      </w:tblGrid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Zaměstnanec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[JMÉNO, POZICE]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Přebírající osoba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[JMÉNO, FUNKCE]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Zaměstnavatel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[NÁZEV]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Datum předání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  <w:tr>
        <w:tc>
          <w:tcPr>
            <w:tcW w:type="dxa" w:w="5156"/>
            <w:shd w:fill="F3F6F8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253746"/>
                <w:sz w:val="19"/>
              </w:rPr>
              <w:t>Poslední den zaměstnání</w:t>
            </w:r>
          </w:p>
        </w:tc>
        <w:tc>
          <w:tcPr>
            <w:tcW w:type="dxa" w:w="5156"/>
            <w:vAlign w:val="center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[DD. MM. RRRR]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1. Svěřený majetek</w:t>
      </w:r>
    </w:p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2062"/>
        <w:gridCol w:w="2062"/>
        <w:gridCol w:w="2062"/>
        <w:gridCol w:w="2062"/>
        <w:gridCol w:w="2062"/>
      </w:tblGrid>
      <w:tr>
        <w:trPr>
          <w:tblHeader w:val="true"/>
        </w:trPr>
        <w:tc>
          <w:tcPr>
            <w:tcW w:type="dxa" w:w="2062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Položka</w:t>
            </w:r>
          </w:p>
        </w:tc>
        <w:tc>
          <w:tcPr>
            <w:tcW w:type="dxa" w:w="2062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ID / sériové číslo</w:t>
            </w:r>
          </w:p>
        </w:tc>
        <w:tc>
          <w:tcPr>
            <w:tcW w:type="dxa" w:w="2062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Stav</w:t>
            </w:r>
          </w:p>
        </w:tc>
        <w:tc>
          <w:tcPr>
            <w:tcW w:type="dxa" w:w="2062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Předáno</w:t>
            </w:r>
          </w:p>
        </w:tc>
        <w:tc>
          <w:tcPr>
            <w:tcW w:type="dxa" w:w="2062"/>
            <w:shd w:fill="1F4E79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/>
                <w:i w:val="0"/>
                <w:color w:val="FFFFFF"/>
                <w:sz w:val="17"/>
              </w:rPr>
              <w:t>Poznámka</w:t>
            </w:r>
          </w:p>
        </w:tc>
      </w:tr>
      <w:tr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</w:tr>
      <w:tr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</w:tr>
      <w:tr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</w:tr>
      <w:tr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  <w:tc>
          <w:tcPr>
            <w:tcW w:type="dxa" w:w="2062"/>
            <w:tcBorders>
              <w:top w:val="single" w:sz="4" w:color="B7C9D6"/>
              <w:left w:val="single" w:sz="4" w:color="B7C9D6"/>
              <w:bottom w:val="single" w:sz="4" w:color="B7C9D6"/>
              <w:right w:val="single" w:sz="4" w:color="B7C9D6"/>
            </w:tcBorders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7"/>
              </w:rPr>
              <w:t>[DOPLŇTE]</w:t>
            </w:r>
          </w:p>
        </w:tc>
      </w:tr>
    </w:tbl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2. Přístupy a oprávnění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Přístupová karta / klíče: [PŘEDÁNO / ZRUŠENO]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IT účty a oprávnění: [SEZNAM / ODPOVĚDNÁ OSOBA]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☐ Firemní telefon / SIM / token / ostatní přístupy: [DOPLŇTE]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3. Agenda a rozpracované úkoly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Aktivní projekty a termíny: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Kontaktní osoby / zákazníci: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Dokumentace a umístění souborů: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Nevyřízené úkoly / rizika: [DOPLŇTE]</w:t>
      </w:r>
    </w:p>
    <w:p>
      <w:pPr>
        <w:spacing w:before="0" w:after="60" w:line="252" w:lineRule="auto"/>
        <w:ind w:left="255" w:hanging="142"/>
      </w:pPr>
      <w:r>
        <w:rPr>
          <w:rFonts w:ascii="Aptos" w:hAnsi="Aptos"/>
          <w:b w:val="0"/>
          <w:i w:val="0"/>
          <w:color w:val="253746"/>
          <w:sz w:val="20"/>
        </w:rPr>
        <w:t>• Zálohy, hotovost, cestovní zálohy nebo jiné hodnoty: [DOPLŇTE]</w:t>
      </w:r>
    </w:p>
    <w:p>
      <w:pPr>
        <w:pStyle w:val="Heading1"/>
        <w:spacing w:before="120" w:after="80" w:line="252" w:lineRule="auto"/>
      </w:pPr>
      <w:r>
        <w:rPr>
          <w:rFonts w:ascii="Aptos" w:hAnsi="Aptos"/>
          <w:b/>
          <w:i w:val="0"/>
          <w:color w:val="1F4E79"/>
          <w:sz w:val="27"/>
        </w:rPr>
        <w:t>4. Prohlášení</w:t>
      </w:r>
    </w:p>
    <w:p>
      <w:pPr>
        <w:spacing w:before="0" w:after="120" w:line="264" w:lineRule="auto"/>
      </w:pPr>
      <w:r>
        <w:rPr>
          <w:rFonts w:ascii="Aptos" w:hAnsi="Aptos"/>
          <w:b w:val="0"/>
          <w:i w:val="0"/>
          <w:color w:val="253746"/>
          <w:sz w:val="21"/>
        </w:rPr>
        <w:t>Předávající a přebírající potvrzují, že výše uvedené položky a agenda byly předány v uvedeném rozsahu. Případné výhrady nebo chybějící položky jsou zaznamenány v tomto protokolu.</w:t>
      </w:r>
    </w:p>
    <w:p/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365"/>
        <w:gridCol w:w="4365"/>
      </w:tblGrid>
      <w:tr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__________________________________</w:t>
            </w:r>
          </w:p>
        </w:tc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607D8B"/>
                <w:sz w:val="19"/>
              </w:rPr>
              <w:t>__________________________________</w:t>
            </w:r>
          </w:p>
        </w:tc>
      </w:tr>
      <w:tr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Předávající zaměstnanec</w:t>
            </w:r>
          </w:p>
        </w:tc>
        <w:tc>
          <w:tcPr>
            <w:tcW w:type="dxa" w:w="5156"/>
          </w:tcPr>
          <w:p>
            <w:pPr>
              <w:spacing w:before="0" w:after="0" w:line="252" w:lineRule="auto"/>
            </w:pPr>
            <w:r>
              <w:rPr>
                <w:rFonts w:ascii="Aptos" w:hAnsi="Aptos"/>
                <w:b w:val="0"/>
                <w:i w:val="0"/>
                <w:color w:val="253746"/>
                <w:sz w:val="18"/>
              </w:rPr>
              <w:t>Přebírající / zaměstnavatel</w:t>
            </w:r>
          </w:p>
        </w:tc>
      </w:tr>
    </w:tbl>
    <w:p>
      <w:pPr>
        <w:pStyle w:val="Heading2"/>
        <w:spacing w:before="120" w:after="80" w:line="252" w:lineRule="auto"/>
      </w:pPr>
      <w:r>
        <w:rPr>
          <w:rFonts w:ascii="Aptos" w:hAnsi="Aptos"/>
          <w:b/>
          <w:i w:val="0"/>
          <w:color w:val="253746"/>
          <w:sz w:val="23"/>
        </w:rPr>
        <w:t>Právní / praktická poznámka</w:t>
      </w:r>
    </w:p>
    <w:p>
      <w:pPr>
        <w:spacing w:before="0" w:after="60" w:line="252" w:lineRule="auto"/>
      </w:pPr>
      <w:r>
        <w:rPr>
          <w:rFonts w:ascii="Aptos" w:hAnsi="Aptos"/>
          <w:b w:val="0"/>
          <w:i w:val="0"/>
          <w:color w:val="607D8B"/>
          <w:sz w:val="17"/>
        </w:rPr>
        <w:t>Potvrzení o zaměstnání upravuje § 313 zákoníku práce a zaměstnavatel je při skončení pracovního poměru povinen jej vydat v zákonem stanovených případech. Tento protokol je pouze praktický doplňkový dokument.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79" w:right="964" w:bottom="879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52" w:lineRule="auto"/>
      <w:jc w:val="center"/>
    </w:pPr>
    <w:r>
      <w:rPr>
        <w:rFonts w:ascii="Aptos" w:hAnsi="Aptos"/>
        <w:b w:val="0"/>
        <w:i w:val="0"/>
        <w:color w:val="607D8B"/>
        <w:sz w:val="15"/>
      </w:rPr>
      <w:t>Obecný informační vzor – vždy zohledněte konkrétní pracovní smlouvu a okolnosti.  |  eNáchod.cz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52" w:lineRule="auto"/>
      <w:jc w:val="right"/>
    </w:pPr>
    <w:r>
      <w:rPr>
        <w:rFonts w:ascii="Aptos" w:hAnsi="Aptos"/>
        <w:b/>
        <w:i w:val="0"/>
        <w:color w:val="1F4E79"/>
        <w:sz w:val="18"/>
      </w:rPr>
      <w:t>eNáchod.cz  |  Formuláře pro práci a kariéru 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1F4E79"/>
      <w:sz w:val="27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253746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1F4E79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